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A328" w14:textId="77777777" w:rsidR="0072220C" w:rsidRPr="00B405F7" w:rsidRDefault="0072220C" w:rsidP="00156944">
      <w:pPr>
        <w:spacing w:line="240" w:lineRule="auto"/>
        <w:jc w:val="center"/>
        <w:rPr>
          <w:rFonts w:ascii="Arial" w:hAnsi="Arial" w:cs="Arial"/>
          <w:b/>
          <w:bCs/>
          <w:sz w:val="24"/>
          <w:szCs w:val="24"/>
        </w:rPr>
      </w:pPr>
      <w:bookmarkStart w:id="0" w:name="OLE_LINK1"/>
    </w:p>
    <w:p w14:paraId="19D2B5AA" w14:textId="6E4D1F82" w:rsidR="00D16F99" w:rsidRPr="00B405F7" w:rsidRDefault="00D16F99" w:rsidP="00156944">
      <w:pPr>
        <w:spacing w:line="240" w:lineRule="auto"/>
        <w:jc w:val="center"/>
        <w:rPr>
          <w:rFonts w:ascii="Arial" w:hAnsi="Arial" w:cs="Arial"/>
          <w:b/>
          <w:bCs/>
          <w:sz w:val="24"/>
          <w:szCs w:val="24"/>
        </w:rPr>
      </w:pPr>
      <w:r w:rsidRPr="00B405F7">
        <w:rPr>
          <w:rFonts w:ascii="Arial" w:hAnsi="Arial" w:cs="Arial"/>
          <w:b/>
          <w:bCs/>
          <w:sz w:val="24"/>
          <w:szCs w:val="24"/>
        </w:rPr>
        <w:t>Reunião Ordinária do Comitê de Investimentos.</w:t>
      </w:r>
    </w:p>
    <w:p w14:paraId="251B31B9" w14:textId="6D1675CB" w:rsidR="008B0983" w:rsidRPr="00E21730" w:rsidRDefault="00C3091F" w:rsidP="00156944">
      <w:pPr>
        <w:spacing w:line="240" w:lineRule="auto"/>
        <w:jc w:val="both"/>
        <w:rPr>
          <w:rFonts w:ascii="Arial" w:hAnsi="Arial" w:cs="Arial"/>
          <w:sz w:val="24"/>
          <w:szCs w:val="24"/>
        </w:rPr>
      </w:pPr>
      <w:r w:rsidRPr="00C3091F">
        <w:rPr>
          <w:rFonts w:ascii="Arial" w:hAnsi="Arial" w:cs="Arial"/>
          <w:sz w:val="24"/>
          <w:szCs w:val="24"/>
        </w:rPr>
        <w:t>Aos vinte e quatro (24) dias do mês de junho de dois mil e vinte e seis, às treze horas, em reunião ordinária do Comitê de Investimentos, realizada por videoconferência, reuniram-se, na sede do Instituto de Previdência dos Servidores Públicos do Município de Guanhães – GuanhãesPrev, situada na Rua Monsenhor Pinheiro, nº 101, Centro, Guanhães/MG, os membros do Comitê de Investimentos e da consultoria de investimentos, com a presença de Cláudia Aparecida Monteiro dos Santos, Daniel Fernando da Silva, Francielle Elgita de Oliveira Costa, Humberto Salvador Ferreira Lopes e Rosimery Aparecida Inácio de Pinho Procópio, bem como dos consultores Daniele Carvalho e Felipe Mafuz, da Lema Assessoria de Investimentos, que participaram remotamente. Francielle iniciou a reunião cumprimentando os presentes e informou que a pauta principal seria o fechamento do mês de maio, o cenário dos mercados nacional e internacional e a discussão sobre possíveis alterações na carteira de investimentos do Instituto, com o objetivo de buscar melhores rendimentos no longo prazo e a perseguição da meta atuarial. Em seguida, foi concedida a palavra à consultora Daniele, que também cumprimentou os presentes e informou que realizaria o compartilhamento de sua tela para apresentação do cenário econômico e da carteira de investimentos. Destacou que procura sempre construir uma linha de raciocínio ao longo das reuniões, visando proporcionar melhor compreensão dos membros acerca do cenário econômico, dos impactos na carteira de investimentos e o esclarecimento de eventuais dúvidas, ressaltando que os participantes poderiam interrompê-la a qualquer momento para formular questionamentos.</w:t>
      </w:r>
      <w:r>
        <w:rPr>
          <w:rFonts w:ascii="Arial" w:hAnsi="Arial" w:cs="Arial"/>
          <w:sz w:val="24"/>
          <w:szCs w:val="24"/>
        </w:rPr>
        <w:t xml:space="preserve"> </w:t>
      </w:r>
      <w:r w:rsidR="00214BC9" w:rsidRPr="00B405F7">
        <w:rPr>
          <w:rFonts w:ascii="Arial" w:hAnsi="Arial" w:cs="Arial"/>
          <w:sz w:val="24"/>
          <w:szCs w:val="24"/>
        </w:rPr>
        <w:t xml:space="preserve">Em seguida, </w:t>
      </w:r>
      <w:r w:rsidR="00214BC9" w:rsidRPr="002A62B8">
        <w:rPr>
          <w:rFonts w:ascii="Arial" w:hAnsi="Arial" w:cs="Arial"/>
          <w:sz w:val="24"/>
          <w:szCs w:val="24"/>
        </w:rPr>
        <w:t>Daniela iniciou a explanação</w:t>
      </w:r>
      <w:r w:rsidR="00214BC9" w:rsidRPr="00B405F7">
        <w:rPr>
          <w:rFonts w:ascii="Arial" w:hAnsi="Arial" w:cs="Arial"/>
          <w:sz w:val="24"/>
          <w:szCs w:val="24"/>
        </w:rPr>
        <w:t xml:space="preserve"> acerca do cenário econômico, destacando a atualização do Boletim Focus, mencionando o aumento da taxa Selic, atualmente em 14,25% ao ano, e a revisão para cima das expectativas de mercado, tanto em relação ao IPCA quanto à própria Selic, informando que a projeção do IPCA </w:t>
      </w:r>
      <w:proofErr w:type="gramStart"/>
      <w:r w:rsidR="00214BC9" w:rsidRPr="00B405F7">
        <w:rPr>
          <w:rFonts w:ascii="Arial" w:hAnsi="Arial" w:cs="Arial"/>
          <w:sz w:val="24"/>
          <w:szCs w:val="24"/>
        </w:rPr>
        <w:t>encontra-se</w:t>
      </w:r>
      <w:proofErr w:type="gramEnd"/>
      <w:r w:rsidR="00214BC9" w:rsidRPr="00B405F7">
        <w:rPr>
          <w:rFonts w:ascii="Arial" w:hAnsi="Arial" w:cs="Arial"/>
          <w:sz w:val="24"/>
          <w:szCs w:val="24"/>
        </w:rPr>
        <w:t xml:space="preserve"> em torno de 5,33%, o que consequentemente eleva a expectativa da taxa Selic para o exercício de 2026, embora para 2027 em diante exista perspectiva de queda. Explicou que um dos fatores que contribuiu para essa revisão foi a pressão inflacionária doméstica, decorrente da resiliência da atividade econômica e das incertezas fiscais, fatores que influenciam diretamente a política monetária e fiscal. Acrescentou que o cenário internacional também contribui para as oscilações de mercado, especialmente em razão do preço do petróleo, conflitos geopolíticos e discussões sobre juros nos Estados Unidos, todos impactando a inflação e as decisões dos bancos centrais. Daniela ressaltou que, apesar do ambiente desafiador, os ativos de renda fixa continuam apresentando oportunidades interessantes, especialmente os investimentos atrelados ao CDI, que vêm sendo beneficiados pelo patamar elevado da Selic, informando que o CDI acumula rentabilidade em torno de 6,45% no ano, superando inclusive a meta atuarial. Mencionou ainda o desempenho do IRF-M1, com rentabilidade acumulada próxima de 6,14%, destacando que a estratégia de combinação entre ativos pós-fixados atrelados ao CDI e demais ativos de renda fixa de curto, médio e longo prazo continua sendo a mais adequada para embasar decisões de investimento. Ao tratar da carteira do RPPS, informou que o patrimônio encerrou o período acima de R$ 45 milhões, com rentabilidade mensal de 0,93%, frente a uma meta atuarial mensal de 1,04%, gerando diferença de 0,11 ponto percentual. Destacou que a análise não deve se restringir a uma única janela temporal, </w:t>
      </w:r>
      <w:r w:rsidR="00214BC9" w:rsidRPr="00B405F7">
        <w:rPr>
          <w:rFonts w:ascii="Arial" w:hAnsi="Arial" w:cs="Arial"/>
          <w:sz w:val="24"/>
          <w:szCs w:val="24"/>
        </w:rPr>
        <w:lastRenderedPageBreak/>
        <w:t>mas ao acumulado, ressaltando que, embora momentaneamente abaixo da meta, a carteira mantém perfil conservador, concentrada em CDI e IRF-M, e que a elevação do IPCA impactou diretamente o atingimento da meta atuarial. Comentou ainda que fundos como Premium</w:t>
      </w:r>
      <w:r w:rsidR="00896A80">
        <w:rPr>
          <w:rFonts w:ascii="Arial" w:hAnsi="Arial" w:cs="Arial"/>
          <w:sz w:val="24"/>
          <w:szCs w:val="24"/>
        </w:rPr>
        <w:t>,</w:t>
      </w:r>
      <w:r w:rsidR="00214BC9" w:rsidRPr="00B405F7">
        <w:rPr>
          <w:rFonts w:ascii="Arial" w:hAnsi="Arial" w:cs="Arial"/>
          <w:sz w:val="24"/>
          <w:szCs w:val="24"/>
        </w:rPr>
        <w:t xml:space="preserve"> Caixa Matriz e Caixa Referenciado vêm apresentando boa performance, superando 1% ao mês, enquanto o fundo imobiliário e o FIDC apresentam oscilações esperadas por não estarem inseridos no núcleo da renda fixa. Na sequência, Daniela passou a palavra para manifestação da equipe do RPPS quanto aos pareceres técnicos e às dúvidas sobre eventual alongamento da carteira. Franciel</w:t>
      </w:r>
      <w:r w:rsidR="00896A80">
        <w:rPr>
          <w:rFonts w:ascii="Arial" w:hAnsi="Arial" w:cs="Arial"/>
          <w:sz w:val="24"/>
          <w:szCs w:val="24"/>
        </w:rPr>
        <w:t>l</w:t>
      </w:r>
      <w:r w:rsidR="00214BC9" w:rsidRPr="00B405F7">
        <w:rPr>
          <w:rFonts w:ascii="Arial" w:hAnsi="Arial" w:cs="Arial"/>
          <w:sz w:val="24"/>
          <w:szCs w:val="24"/>
        </w:rPr>
        <w:t xml:space="preserve">e </w:t>
      </w:r>
      <w:r w:rsidR="00FB3DFF">
        <w:rPr>
          <w:rFonts w:ascii="Arial" w:hAnsi="Arial" w:cs="Arial"/>
          <w:sz w:val="24"/>
          <w:szCs w:val="24"/>
        </w:rPr>
        <w:t xml:space="preserve">e Rosimery </w:t>
      </w:r>
      <w:r w:rsidR="00214BC9" w:rsidRPr="00B405F7">
        <w:rPr>
          <w:rFonts w:ascii="Arial" w:hAnsi="Arial" w:cs="Arial"/>
          <w:sz w:val="24"/>
          <w:szCs w:val="24"/>
        </w:rPr>
        <w:t>relat</w:t>
      </w:r>
      <w:r w:rsidR="00FB3DFF">
        <w:rPr>
          <w:rFonts w:ascii="Arial" w:hAnsi="Arial" w:cs="Arial"/>
          <w:sz w:val="24"/>
          <w:szCs w:val="24"/>
        </w:rPr>
        <w:t>aram</w:t>
      </w:r>
      <w:r w:rsidR="00214BC9" w:rsidRPr="00B405F7">
        <w:rPr>
          <w:rFonts w:ascii="Arial" w:hAnsi="Arial" w:cs="Arial"/>
          <w:sz w:val="24"/>
          <w:szCs w:val="24"/>
        </w:rPr>
        <w:t xml:space="preserve"> preocupação pelo terceiro mês consecutivo sem atingimento da meta atuarial, mencionando questionamentos sobre eventual mudança de estratégia da carteira para proteção frente à inflação, ponderando que a forte concentração em CDI e IRF-M1 decorre do estudo de ALM, mas destacando que o RPPS não necessitará de todos os recursos de forma imediata, razão pela qual desejava</w:t>
      </w:r>
      <w:r w:rsidR="00FB3DFF">
        <w:rPr>
          <w:rFonts w:ascii="Arial" w:hAnsi="Arial" w:cs="Arial"/>
          <w:sz w:val="24"/>
          <w:szCs w:val="24"/>
        </w:rPr>
        <w:t>m</w:t>
      </w:r>
      <w:r w:rsidR="00214BC9" w:rsidRPr="00B405F7">
        <w:rPr>
          <w:rFonts w:ascii="Arial" w:hAnsi="Arial" w:cs="Arial"/>
          <w:sz w:val="24"/>
          <w:szCs w:val="24"/>
        </w:rPr>
        <w:t xml:space="preserve"> compreender se haveria possibilidade de alongamento parcial da carteira visando maior rentabilidade, especialmente diante do vencimento de títulos públicos em agosto. Ros</w:t>
      </w:r>
      <w:r w:rsidR="00FB3DFF">
        <w:rPr>
          <w:rFonts w:ascii="Arial" w:hAnsi="Arial" w:cs="Arial"/>
          <w:sz w:val="24"/>
          <w:szCs w:val="24"/>
        </w:rPr>
        <w:t>imery</w:t>
      </w:r>
      <w:r w:rsidR="00214BC9" w:rsidRPr="00B405F7">
        <w:rPr>
          <w:rFonts w:ascii="Arial" w:hAnsi="Arial" w:cs="Arial"/>
          <w:sz w:val="24"/>
          <w:szCs w:val="24"/>
        </w:rPr>
        <w:t xml:space="preserve"> complementou, explicando que a discordância parcial em relação à última sugestão de realocação decorreu justamente da percepção de que, apesar do ALM indicar determinada direção, o RPPS possui títulos públicos e letra financeira com vencimento próximo e entende que, mesmo havendo eventual necessidade de liquidez, haveria possibilidade de resgate antecipado, permitindo ao menos capturar rentabilidade superior no período, considerando ainda o déficit atuarial administrável e o déficit financeiro não equacionado pelo município</w:t>
      </w:r>
      <w:r w:rsidR="00412D73">
        <w:rPr>
          <w:rFonts w:ascii="Arial" w:hAnsi="Arial" w:cs="Arial"/>
          <w:sz w:val="24"/>
          <w:szCs w:val="24"/>
        </w:rPr>
        <w:t>, mas que já está em tratativas de aporte com o prefeito municipal</w:t>
      </w:r>
      <w:r w:rsidR="00214BC9" w:rsidRPr="00B405F7">
        <w:rPr>
          <w:rFonts w:ascii="Arial" w:hAnsi="Arial" w:cs="Arial"/>
          <w:sz w:val="24"/>
          <w:szCs w:val="24"/>
        </w:rPr>
        <w:t xml:space="preserve">, embora os repasses mensais estejam sendo realizados regularmente. Diante disso, Felipe iniciou sua manifestação, afirmando ser muito válida a discussão proposta, destacando que o cenário atual favorece os ativos conservadores atrelados ao CDI e ao IRF-M. Ao abordar o alongamento via compra direta de títulos públicos, questionou se a intenção seria aquisição de títulos marcados na curva, com maior duration. Explicou que a consultoria é defensora da compra direta de títulos em diversas situações, mas ponderou que, no caso específico do RPPS, o principal fator limitador é o perfil deficitário do regime. Informou que, com base na documentação utilizada </w:t>
      </w:r>
      <w:proofErr w:type="spellStart"/>
      <w:r w:rsidR="00214BC9" w:rsidRPr="00B405F7">
        <w:rPr>
          <w:rFonts w:ascii="Arial" w:hAnsi="Arial" w:cs="Arial"/>
          <w:sz w:val="24"/>
          <w:szCs w:val="24"/>
        </w:rPr>
        <w:t>na</w:t>
      </w:r>
      <w:proofErr w:type="spellEnd"/>
      <w:r w:rsidR="00214BC9" w:rsidRPr="00B405F7">
        <w:rPr>
          <w:rFonts w:ascii="Arial" w:hAnsi="Arial" w:cs="Arial"/>
          <w:sz w:val="24"/>
          <w:szCs w:val="24"/>
        </w:rPr>
        <w:t xml:space="preserve"> pré-elaboração do ALM, o patrimônio projetado estaria integralmente consumido até 2029, com quedas progressivas de patrimônio a partir de 2027, ainda que se reconheça que os repasses municipais possam mitigar tal cenário. Esclareceu que, por esse motivo, o RPPS precisa priorizar ativos de curto prazo. Sobre a letra financeira, Felipe alertou que tal ativo apresenta risco adicional por não possuir mercado secundário, salvo raras exceções, além de possuir prazo mínimo de dois anos, o que inviabiliza sua utilização para necessidade de liquidez em prazo inferior. Em relação aos títulos públicos, reconheceu a liquidez, mas alertou para o risco de marcação a mercado caso seja necessário vender antes do vencimento, destacando que a marcação na curva só preserva a rentabilidade caso o título seja mantido até o vencimento. Felipe então apresentou comparativos de taxas, explicando que, considerando projeção de Selic em 14% para o fim de 2026 e IPCA em 5,33%, a taxa real supera 8%, patamar superior ao rendimento real da maioria dos títulos públicos disponíveis. Acrescentou que, para 2027, com Selic projetada em 12% e IPCA em 4,15%, o ganho real projetado ainda seria elevado, em torno de 7,54%, e que a curva de juros projeta CDI próximo de 14,7% em um horizonte de um ano. Demonstrou, assim, que seria necessária inflação superior a 6% para que o retorno real do CDI ficasse abaixo de 8%, o que </w:t>
      </w:r>
      <w:r w:rsidR="00214BC9" w:rsidRPr="00B405F7">
        <w:rPr>
          <w:rFonts w:ascii="Arial" w:hAnsi="Arial" w:cs="Arial"/>
          <w:sz w:val="24"/>
          <w:szCs w:val="24"/>
        </w:rPr>
        <w:lastRenderedPageBreak/>
        <w:t>exigiria cenário inflacionário significativamente acima da meta e da banda de tolerância do Banco Central. Reforçou que o não atingimento da meta vem ocorrendo principalmente em razão da inflação elevada, não por má performance da carteira, uma vez que a rentabilidade mensal vem apresentando baixa volatilidade e boa consistência. Felipe concluiu que, embora a decisão final pertença ao Comitê, a consultoria entende que os riscos de liquidez e de eventual venda antecipada com perda por marcação a mercado não compensam o potencial ganho adicional em relação ao CDI. Questionado por Ros</w:t>
      </w:r>
      <w:r w:rsidR="00B42317">
        <w:rPr>
          <w:rFonts w:ascii="Arial" w:hAnsi="Arial" w:cs="Arial"/>
          <w:sz w:val="24"/>
          <w:szCs w:val="24"/>
        </w:rPr>
        <w:t>im</w:t>
      </w:r>
      <w:r w:rsidR="00214BC9" w:rsidRPr="00B405F7">
        <w:rPr>
          <w:rFonts w:ascii="Arial" w:hAnsi="Arial" w:cs="Arial"/>
          <w:sz w:val="24"/>
          <w:szCs w:val="24"/>
        </w:rPr>
        <w:t>e</w:t>
      </w:r>
      <w:r w:rsidR="00B42317">
        <w:rPr>
          <w:rFonts w:ascii="Arial" w:hAnsi="Arial" w:cs="Arial"/>
          <w:sz w:val="24"/>
          <w:szCs w:val="24"/>
        </w:rPr>
        <w:t>ry</w:t>
      </w:r>
      <w:r w:rsidR="00214BC9" w:rsidRPr="00B405F7">
        <w:rPr>
          <w:rFonts w:ascii="Arial" w:hAnsi="Arial" w:cs="Arial"/>
          <w:sz w:val="24"/>
          <w:szCs w:val="24"/>
        </w:rPr>
        <w:t xml:space="preserve"> sobre alternativas dentro da própria renda fixa e entre instituições enquadradas como S1 e S2, bem como sobre eventual impacto de parecer atuarial considerando conjuntamente os déficits atuarial e financeiro, Felipe respondeu que um novo parecer atuarial poderia oferecer elementos adicionais, especialmente caso demonstre maior capacidade de manutenção de ativos de prazo mais longo, mas ressaltou que, com base na documentação atualmente disponível, a orientação da consultoria permanece conservadora. Ros</w:t>
      </w:r>
      <w:r w:rsidR="00B42317">
        <w:rPr>
          <w:rFonts w:ascii="Arial" w:hAnsi="Arial" w:cs="Arial"/>
          <w:sz w:val="24"/>
          <w:szCs w:val="24"/>
        </w:rPr>
        <w:t>im</w:t>
      </w:r>
      <w:r w:rsidR="00214BC9" w:rsidRPr="00B405F7">
        <w:rPr>
          <w:rFonts w:ascii="Arial" w:hAnsi="Arial" w:cs="Arial"/>
          <w:sz w:val="24"/>
          <w:szCs w:val="24"/>
        </w:rPr>
        <w:t>e</w:t>
      </w:r>
      <w:r w:rsidR="00B42317">
        <w:rPr>
          <w:rFonts w:ascii="Arial" w:hAnsi="Arial" w:cs="Arial"/>
          <w:sz w:val="24"/>
          <w:szCs w:val="24"/>
        </w:rPr>
        <w:t>ry</w:t>
      </w:r>
      <w:r w:rsidR="00214BC9" w:rsidRPr="00B405F7">
        <w:rPr>
          <w:rFonts w:ascii="Arial" w:hAnsi="Arial" w:cs="Arial"/>
          <w:sz w:val="24"/>
          <w:szCs w:val="24"/>
        </w:rPr>
        <w:t xml:space="preserve"> expôs detalhadamente a situação do RPPS, mencionando que a ausência de reforma previdenciária municipal agravou o desequilíbrio atuarial e financeiro, destacando que o cálculo atuarial de 2026 praticamente dobrou o déficit, especialmente após ingresso de novos servidores via concurso, cuja contribuição individual é significativamente inferior à dos segurados em fim de carreira. Informou ainda que a solução atualmente discutida junto ao Executivo consiste no aumento da alíquota patronal de 20,92% para 28%, buscando aliviar o déficit financeiro </w:t>
      </w:r>
      <w:r w:rsidR="00B42317">
        <w:rPr>
          <w:rFonts w:ascii="Arial" w:hAnsi="Arial" w:cs="Arial"/>
          <w:sz w:val="24"/>
          <w:szCs w:val="24"/>
        </w:rPr>
        <w:t xml:space="preserve">com a elevação da receita previdenciária </w:t>
      </w:r>
      <w:r w:rsidR="00214BC9" w:rsidRPr="00B405F7">
        <w:rPr>
          <w:rFonts w:ascii="Arial" w:hAnsi="Arial" w:cs="Arial"/>
          <w:sz w:val="24"/>
          <w:szCs w:val="24"/>
        </w:rPr>
        <w:t>e reduzir parcialmente o déficit atuarial, embora reconheça a dificuldade orçamentária municipal, considerando que a soma da alíquota patronal com a suplementar poderá superar 60% da folha no exercício seguinte. Felipe reconheceu a complexidade da situação, reforçando que compreende a dificuldade do Comitê diante do cenário deficitário e da necessidade de buscar soluções, mas reiterou que, no entendimento da consultoria, a exposição adicional a risco não se mostra prudente neste momento, considerando que o CDI oferece rentabilidade elevada, liquidez diária e baixa volatilidade. Destacou que taxas de juros elevadas, embora ruins para diversos setores da economia, beneficiam RPPS deficitários que necessitam adotar postura conservadora. Ros</w:t>
      </w:r>
      <w:r w:rsidR="00B42317">
        <w:rPr>
          <w:rFonts w:ascii="Arial" w:hAnsi="Arial" w:cs="Arial"/>
          <w:sz w:val="24"/>
          <w:szCs w:val="24"/>
        </w:rPr>
        <w:t>im</w:t>
      </w:r>
      <w:r w:rsidR="00214BC9" w:rsidRPr="00B405F7">
        <w:rPr>
          <w:rFonts w:ascii="Arial" w:hAnsi="Arial" w:cs="Arial"/>
          <w:sz w:val="24"/>
          <w:szCs w:val="24"/>
        </w:rPr>
        <w:t>e</w:t>
      </w:r>
      <w:r w:rsidR="00B42317">
        <w:rPr>
          <w:rFonts w:ascii="Arial" w:hAnsi="Arial" w:cs="Arial"/>
          <w:sz w:val="24"/>
          <w:szCs w:val="24"/>
        </w:rPr>
        <w:t>ry</w:t>
      </w:r>
      <w:r w:rsidR="00214BC9" w:rsidRPr="00B405F7">
        <w:rPr>
          <w:rFonts w:ascii="Arial" w:hAnsi="Arial" w:cs="Arial"/>
          <w:sz w:val="24"/>
          <w:szCs w:val="24"/>
        </w:rPr>
        <w:t xml:space="preserve"> então afirmou que os membros do Comitê compreenderam os esclarecimentos e que o objetivo principal era entender se ainda existia alguma alternativa de melhoria sem comprometer a segurança dos recursos. Ressaltou que o Comitê desejava exatamente compreender os riscos associados à compra de títulos públicos e reconheceu que o impacto da marcação a mercado em caso de resgate antecipado não havia sido visualizado com a profundidade apresentada pela consultoria. Felipe colocou-se à disposição para contatos diretos sempre que necessário, reforçando a importância de manter alinhamento próximo com a equipe do RPPS. Ao final, Ros</w:t>
      </w:r>
      <w:r w:rsidR="00B42317">
        <w:rPr>
          <w:rFonts w:ascii="Arial" w:hAnsi="Arial" w:cs="Arial"/>
          <w:sz w:val="24"/>
          <w:szCs w:val="24"/>
        </w:rPr>
        <w:t>ime</w:t>
      </w:r>
      <w:r w:rsidR="00584933">
        <w:rPr>
          <w:rFonts w:ascii="Arial" w:hAnsi="Arial" w:cs="Arial"/>
          <w:sz w:val="24"/>
          <w:szCs w:val="24"/>
        </w:rPr>
        <w:t>r</w:t>
      </w:r>
      <w:r w:rsidR="00B42317">
        <w:rPr>
          <w:rFonts w:ascii="Arial" w:hAnsi="Arial" w:cs="Arial"/>
          <w:sz w:val="24"/>
          <w:szCs w:val="24"/>
        </w:rPr>
        <w:t>y</w:t>
      </w:r>
      <w:r w:rsidR="00214BC9" w:rsidRPr="00B405F7">
        <w:rPr>
          <w:rFonts w:ascii="Arial" w:hAnsi="Arial" w:cs="Arial"/>
          <w:sz w:val="24"/>
          <w:szCs w:val="24"/>
        </w:rPr>
        <w:t xml:space="preserve"> agradeceu pelos esclarecimentos e informou que solicitará ao atuário relatório específico realizando o casamento entre déficit atuarial e déficit financeiro, visando maior segurança técnica nas futuras deliberações e demonstrando que o Comitê permanece buscando soluções. Ficou acordado que, mensalmente, após o fechamento da carteira, a consultoria realizará análise específica dos ativos de renda fixa, com foco em identificar, dentro das opções de curto prazo e do universo atual da carteira, eventuais oportunidades de realocação para produtos com melhor performance. Por fim, </w:t>
      </w:r>
      <w:r w:rsidR="00B42317">
        <w:rPr>
          <w:rFonts w:ascii="Arial" w:hAnsi="Arial" w:cs="Arial"/>
          <w:sz w:val="24"/>
          <w:szCs w:val="24"/>
        </w:rPr>
        <w:t>Rosimery</w:t>
      </w:r>
      <w:r w:rsidR="00214BC9" w:rsidRPr="00B405F7">
        <w:rPr>
          <w:rFonts w:ascii="Arial" w:hAnsi="Arial" w:cs="Arial"/>
          <w:sz w:val="24"/>
          <w:szCs w:val="24"/>
        </w:rPr>
        <w:t xml:space="preserve"> agradeceu aos consultores Felipe e Daniela e solicitou que, na apresentação </w:t>
      </w:r>
      <w:r w:rsidR="00B42317">
        <w:rPr>
          <w:rFonts w:ascii="Arial" w:hAnsi="Arial" w:cs="Arial"/>
          <w:sz w:val="24"/>
          <w:szCs w:val="24"/>
        </w:rPr>
        <w:t xml:space="preserve">da audiência pública </w:t>
      </w:r>
      <w:r w:rsidR="00214BC9" w:rsidRPr="00B405F7">
        <w:rPr>
          <w:rFonts w:ascii="Arial" w:hAnsi="Arial" w:cs="Arial"/>
          <w:sz w:val="24"/>
          <w:szCs w:val="24"/>
        </w:rPr>
        <w:t xml:space="preserve">agendada para o dia seguinte, fosse dado enfoque ao patrimônio fechado em dezembro, ao </w:t>
      </w:r>
      <w:r w:rsidR="00214BC9" w:rsidRPr="00B405F7">
        <w:rPr>
          <w:rFonts w:ascii="Arial" w:hAnsi="Arial" w:cs="Arial"/>
          <w:sz w:val="24"/>
          <w:szCs w:val="24"/>
        </w:rPr>
        <w:lastRenderedPageBreak/>
        <w:t>patrimônio de janeiro e ao patrimônio atual, evidenciando que, apesar dos resgates mensais necessários para cobertura da folha de pagamento e da delicada situação financeira, a carteira permanece superior ao patamar de início de</w:t>
      </w:r>
      <w:r w:rsidR="00B42317">
        <w:rPr>
          <w:rFonts w:ascii="Arial" w:hAnsi="Arial" w:cs="Arial"/>
          <w:sz w:val="24"/>
          <w:szCs w:val="24"/>
        </w:rPr>
        <w:t>ste</w:t>
      </w:r>
      <w:r w:rsidR="00214BC9" w:rsidRPr="00B405F7">
        <w:rPr>
          <w:rFonts w:ascii="Arial" w:hAnsi="Arial" w:cs="Arial"/>
          <w:sz w:val="24"/>
          <w:szCs w:val="24"/>
        </w:rPr>
        <w:t xml:space="preserve"> ano, demonstrando que a gestão vem adotando todas as medidas possíveis dentro da legislação. </w:t>
      </w:r>
      <w:r w:rsidR="006B4DB6" w:rsidRPr="00E21730">
        <w:rPr>
          <w:rFonts w:ascii="Arial" w:hAnsi="Arial" w:cs="Arial"/>
          <w:sz w:val="24"/>
          <w:szCs w:val="24"/>
        </w:rPr>
        <w:t>Na sequência,</w:t>
      </w:r>
      <w:r w:rsidR="00E21730">
        <w:rPr>
          <w:rFonts w:ascii="Arial" w:hAnsi="Arial" w:cs="Arial"/>
          <w:sz w:val="24"/>
          <w:szCs w:val="24"/>
        </w:rPr>
        <w:t xml:space="preserve"> a</w:t>
      </w:r>
      <w:r w:rsidR="00E21730" w:rsidRPr="00E21730">
        <w:rPr>
          <w:rFonts w:ascii="Arial" w:hAnsi="Arial" w:cs="Arial"/>
          <w:sz w:val="24"/>
          <w:szCs w:val="24"/>
        </w:rPr>
        <w:t>pós as manifestações finais dos participantes</w:t>
      </w:r>
      <w:r w:rsidR="00E21730">
        <w:rPr>
          <w:rFonts w:ascii="Arial" w:hAnsi="Arial" w:cs="Arial"/>
          <w:sz w:val="24"/>
          <w:szCs w:val="24"/>
        </w:rPr>
        <w:t>,</w:t>
      </w:r>
      <w:r w:rsidR="006B4DB6" w:rsidRPr="00E21730">
        <w:rPr>
          <w:rFonts w:ascii="Arial" w:hAnsi="Arial" w:cs="Arial"/>
          <w:sz w:val="24"/>
          <w:szCs w:val="24"/>
        </w:rPr>
        <w:t xml:space="preserve"> Francielle apresentou o Relatório de Investimentos, o qual foi analisado e aprovado pelo Comitê. Informou que a carteira do GuanhãesPrev </w:t>
      </w:r>
      <w:proofErr w:type="gramStart"/>
      <w:r w:rsidR="006B4DB6" w:rsidRPr="00E21730">
        <w:rPr>
          <w:rFonts w:ascii="Arial" w:hAnsi="Arial" w:cs="Arial"/>
          <w:sz w:val="24"/>
          <w:szCs w:val="24"/>
        </w:rPr>
        <w:t>encontra-se</w:t>
      </w:r>
      <w:proofErr w:type="gramEnd"/>
      <w:r w:rsidR="006B4DB6" w:rsidRPr="00E21730">
        <w:rPr>
          <w:rFonts w:ascii="Arial" w:hAnsi="Arial" w:cs="Arial"/>
          <w:sz w:val="24"/>
          <w:szCs w:val="24"/>
        </w:rPr>
        <w:t xml:space="preserve"> segregada entre os segmentos de renda fixa 99,</w:t>
      </w:r>
      <w:r w:rsidR="00E21730">
        <w:rPr>
          <w:rFonts w:ascii="Arial" w:hAnsi="Arial" w:cs="Arial"/>
          <w:sz w:val="24"/>
          <w:szCs w:val="24"/>
        </w:rPr>
        <w:t>67</w:t>
      </w:r>
      <w:r w:rsidR="006B4DB6" w:rsidRPr="00E21730">
        <w:rPr>
          <w:rFonts w:ascii="Arial" w:hAnsi="Arial" w:cs="Arial"/>
          <w:sz w:val="24"/>
          <w:szCs w:val="24"/>
        </w:rPr>
        <w:t>% e fundo imobiliário 0,</w:t>
      </w:r>
      <w:r w:rsidR="00E21730">
        <w:rPr>
          <w:rFonts w:ascii="Arial" w:hAnsi="Arial" w:cs="Arial"/>
          <w:sz w:val="24"/>
          <w:szCs w:val="24"/>
        </w:rPr>
        <w:t>33</w:t>
      </w:r>
      <w:r w:rsidR="006B4DB6" w:rsidRPr="00E21730">
        <w:rPr>
          <w:rFonts w:ascii="Arial" w:hAnsi="Arial" w:cs="Arial"/>
          <w:sz w:val="24"/>
          <w:szCs w:val="24"/>
        </w:rPr>
        <w:t>%, observando os limites estabelecidos pela Resolução CMN nº 4.963/2021, que autoriza alocação de até 35% em renda variável para RPPS detentores da Certificação Institucional Pró-Gestão Nível III, certificação conquistada pelo Instituto em 21 de julho de 2025. Foi constatada a inexistência de desenquadramentos nos segmentos de renda fixa e fundo imobiliário, bem como verificado que 86,9</w:t>
      </w:r>
      <w:r w:rsidR="00E21730">
        <w:rPr>
          <w:rFonts w:ascii="Arial" w:hAnsi="Arial" w:cs="Arial"/>
          <w:sz w:val="24"/>
          <w:szCs w:val="24"/>
        </w:rPr>
        <w:t>1</w:t>
      </w:r>
      <w:r w:rsidR="006B4DB6" w:rsidRPr="00E21730">
        <w:rPr>
          <w:rFonts w:ascii="Arial" w:hAnsi="Arial" w:cs="Arial"/>
          <w:sz w:val="24"/>
          <w:szCs w:val="24"/>
        </w:rPr>
        <w:t xml:space="preserve">% dos recursos apresentam liquidez inferior a trinta dias, distribuídos em 13 fundos de investimento e títulos públicos. À luz do cenário econômico apresentado e do posicionamento atual da carteira do GUANHÃES PREV, observou-se que, houve um </w:t>
      </w:r>
      <w:r w:rsidR="00E21730" w:rsidRPr="00E21730">
        <w:rPr>
          <w:rFonts w:ascii="Arial" w:hAnsi="Arial" w:cs="Arial"/>
          <w:sz w:val="24"/>
          <w:szCs w:val="24"/>
        </w:rPr>
        <w:t>aumento patrimonial, com uma rentabilidade de 0,93%. O Índice Nacional de Preços ao Consumidor Amplo (IPCA), ficou em 0,58%, no mês de maio. Influenciada pelo desempenho do IPCA no mês de maio, a meta atuarial foi 1,04%</w:t>
      </w:r>
      <w:r w:rsidR="00E21730">
        <w:rPr>
          <w:rFonts w:ascii="Arial" w:hAnsi="Arial" w:cs="Arial"/>
          <w:sz w:val="24"/>
          <w:szCs w:val="24"/>
        </w:rPr>
        <w:t xml:space="preserve">, </w:t>
      </w:r>
      <w:r w:rsidR="006B4DB6" w:rsidRPr="00E21730">
        <w:rPr>
          <w:rFonts w:ascii="Arial" w:hAnsi="Arial" w:cs="Arial"/>
          <w:sz w:val="24"/>
          <w:szCs w:val="24"/>
        </w:rPr>
        <w:t xml:space="preserve">mantendo-se a carteira em conformidade com o cenário econômico e com a estratégia adotada. O Comitê de Investimentos do GUANHÃES-PREV analisou e atestou a conformidade do relatório de investimentos referente ao mês de </w:t>
      </w:r>
      <w:r w:rsidR="00156944">
        <w:rPr>
          <w:rFonts w:ascii="Arial" w:hAnsi="Arial" w:cs="Arial"/>
          <w:sz w:val="24"/>
          <w:szCs w:val="24"/>
        </w:rPr>
        <w:t>maio</w:t>
      </w:r>
      <w:r w:rsidR="006B4DB6" w:rsidRPr="00E21730">
        <w:rPr>
          <w:rFonts w:ascii="Arial" w:hAnsi="Arial" w:cs="Arial"/>
          <w:sz w:val="24"/>
          <w:szCs w:val="24"/>
        </w:rPr>
        <w:t xml:space="preserve"> de 2026 quanto à rentabilidade e riscos das diversas modalidades de operações realizadas na aplicação dos recursos do GUANHÃES-PREV e da aderência das alocações e processos decisórios de investimento à Política de Investimentos.</w:t>
      </w:r>
      <w:r w:rsidR="00B71E16">
        <w:rPr>
          <w:rFonts w:ascii="Arial" w:hAnsi="Arial" w:cs="Arial"/>
          <w:sz w:val="24"/>
          <w:szCs w:val="24"/>
        </w:rPr>
        <w:t xml:space="preserve"> </w:t>
      </w:r>
      <w:r w:rsidR="00E21730">
        <w:rPr>
          <w:rFonts w:ascii="Arial" w:hAnsi="Arial" w:cs="Arial"/>
          <w:sz w:val="24"/>
          <w:szCs w:val="24"/>
        </w:rPr>
        <w:t>N</w:t>
      </w:r>
      <w:r w:rsidR="008B0983" w:rsidRPr="00E21730">
        <w:rPr>
          <w:rFonts w:ascii="Arial" w:hAnsi="Arial" w:cs="Arial"/>
          <w:sz w:val="24"/>
          <w:szCs w:val="24"/>
        </w:rPr>
        <w:t xml:space="preserve">ada mais havendo a tratar, </w:t>
      </w:r>
      <w:r w:rsidR="003E3962" w:rsidRPr="00E21730">
        <w:rPr>
          <w:rFonts w:ascii="Arial" w:hAnsi="Arial" w:cs="Arial"/>
          <w:sz w:val="24"/>
          <w:szCs w:val="24"/>
        </w:rPr>
        <w:t xml:space="preserve">a presidente, Francielle Elgita de Oliveira Costa encerrou a reunião, agradecendo a participação de todos. Eu, Rosimery Aparecida Inácio de Pinho Procópio, _________________, Secretária do Comitê de Investimentos, lavrei a presente ata, que, lida e aprovada, será assinada por mim e pelos demais membros presentes. </w:t>
      </w:r>
      <w:r w:rsidR="008B0983" w:rsidRPr="00E21730">
        <w:rPr>
          <w:rFonts w:ascii="Arial" w:hAnsi="Arial" w:cs="Arial"/>
          <w:sz w:val="24"/>
          <w:szCs w:val="24"/>
        </w:rPr>
        <w:t xml:space="preserve">Guanhães, </w:t>
      </w:r>
      <w:r w:rsidR="005D5501" w:rsidRPr="00E21730">
        <w:rPr>
          <w:rFonts w:ascii="Arial" w:hAnsi="Arial" w:cs="Arial"/>
          <w:sz w:val="24"/>
          <w:szCs w:val="24"/>
        </w:rPr>
        <w:t>2</w:t>
      </w:r>
      <w:r w:rsidR="00B405F7" w:rsidRPr="00E21730">
        <w:rPr>
          <w:rFonts w:ascii="Arial" w:hAnsi="Arial" w:cs="Arial"/>
          <w:sz w:val="24"/>
          <w:szCs w:val="24"/>
        </w:rPr>
        <w:t>4</w:t>
      </w:r>
      <w:r w:rsidR="00E80DB7" w:rsidRPr="00E21730">
        <w:rPr>
          <w:rFonts w:ascii="Arial" w:hAnsi="Arial" w:cs="Arial"/>
          <w:sz w:val="24"/>
          <w:szCs w:val="24"/>
        </w:rPr>
        <w:t xml:space="preserve"> de </w:t>
      </w:r>
      <w:r w:rsidR="00B405F7" w:rsidRPr="00E21730">
        <w:rPr>
          <w:rFonts w:ascii="Arial" w:hAnsi="Arial" w:cs="Arial"/>
          <w:sz w:val="24"/>
          <w:szCs w:val="24"/>
        </w:rPr>
        <w:t>junho</w:t>
      </w:r>
      <w:r w:rsidR="006F3812" w:rsidRPr="00E21730">
        <w:rPr>
          <w:rFonts w:ascii="Arial" w:hAnsi="Arial" w:cs="Arial"/>
          <w:sz w:val="24"/>
          <w:szCs w:val="24"/>
        </w:rPr>
        <w:t xml:space="preserve"> </w:t>
      </w:r>
      <w:r w:rsidR="00076369" w:rsidRPr="00E21730">
        <w:rPr>
          <w:rFonts w:ascii="Arial" w:hAnsi="Arial" w:cs="Arial"/>
          <w:sz w:val="24"/>
          <w:szCs w:val="24"/>
        </w:rPr>
        <w:t>de 2026</w:t>
      </w:r>
      <w:r w:rsidR="008B0983" w:rsidRPr="00E21730">
        <w:rPr>
          <w:rFonts w:ascii="Arial" w:hAnsi="Arial" w:cs="Arial"/>
          <w:sz w:val="24"/>
          <w:szCs w:val="24"/>
        </w:rPr>
        <w:t>.</w:t>
      </w:r>
    </w:p>
    <w:p w14:paraId="1F4F42E7" w14:textId="77777777" w:rsidR="008B0983" w:rsidRPr="00E21730" w:rsidRDefault="008B0983" w:rsidP="00156944">
      <w:pPr>
        <w:spacing w:line="240" w:lineRule="auto"/>
        <w:rPr>
          <w:rFonts w:ascii="Arial" w:hAnsi="Arial" w:cs="Arial"/>
          <w:sz w:val="24"/>
          <w:szCs w:val="24"/>
        </w:rPr>
      </w:pPr>
    </w:p>
    <w:p w14:paraId="4647E125" w14:textId="77777777" w:rsidR="00B405F7" w:rsidRPr="00E21730" w:rsidRDefault="00B405F7" w:rsidP="00156944">
      <w:pPr>
        <w:spacing w:line="240" w:lineRule="auto"/>
        <w:rPr>
          <w:rFonts w:ascii="Arial" w:hAnsi="Arial" w:cs="Arial"/>
          <w:sz w:val="24"/>
          <w:szCs w:val="24"/>
        </w:rPr>
      </w:pPr>
    </w:p>
    <w:p w14:paraId="7BC79505" w14:textId="1FA0973F" w:rsidR="00076369" w:rsidRPr="00E21730" w:rsidRDefault="00E80DB7" w:rsidP="00156944">
      <w:pPr>
        <w:pStyle w:val="SemEspaamento"/>
        <w:rPr>
          <w:rFonts w:ascii="Arial" w:hAnsi="Arial" w:cs="Arial"/>
          <w:sz w:val="24"/>
          <w:szCs w:val="24"/>
          <w:lang w:val="pt-BR"/>
        </w:rPr>
      </w:pPr>
      <w:r w:rsidRPr="00E21730">
        <w:rPr>
          <w:rFonts w:ascii="Arial" w:hAnsi="Arial" w:cs="Arial"/>
          <w:sz w:val="24"/>
          <w:szCs w:val="24"/>
          <w:lang w:val="pt-BR"/>
        </w:rPr>
        <w:t xml:space="preserve">    </w:t>
      </w:r>
      <w:r w:rsidR="00076369" w:rsidRPr="00E21730">
        <w:rPr>
          <w:rFonts w:ascii="Arial" w:hAnsi="Arial" w:cs="Arial"/>
          <w:sz w:val="24"/>
          <w:szCs w:val="24"/>
          <w:lang w:val="pt-BR"/>
        </w:rPr>
        <w:t xml:space="preserve">Francielle Elgita de Oliveira Costa       </w:t>
      </w:r>
      <w:r w:rsidR="00F72490" w:rsidRPr="00E21730">
        <w:rPr>
          <w:rFonts w:ascii="Arial" w:hAnsi="Arial" w:cs="Arial"/>
          <w:sz w:val="24"/>
          <w:szCs w:val="24"/>
          <w:lang w:val="pt-BR"/>
        </w:rPr>
        <w:t xml:space="preserve">       </w:t>
      </w:r>
      <w:r w:rsidR="00076369" w:rsidRPr="00E21730">
        <w:rPr>
          <w:rFonts w:ascii="Arial" w:hAnsi="Arial" w:cs="Arial"/>
          <w:sz w:val="24"/>
          <w:szCs w:val="24"/>
          <w:lang w:val="pt-BR"/>
        </w:rPr>
        <w:t xml:space="preserve"> Rosimery Ap. Inácio de Pinho Procópio  </w:t>
      </w:r>
    </w:p>
    <w:p w14:paraId="32ACD735" w14:textId="35ADD717" w:rsidR="00076369" w:rsidRPr="00E21730" w:rsidRDefault="00076369" w:rsidP="00156944">
      <w:pPr>
        <w:pStyle w:val="SemEspaamento"/>
        <w:rPr>
          <w:rFonts w:ascii="Arial" w:hAnsi="Arial" w:cs="Arial"/>
          <w:sz w:val="24"/>
          <w:szCs w:val="24"/>
          <w:lang w:val="pt-BR"/>
        </w:rPr>
      </w:pPr>
      <w:r w:rsidRPr="00E21730">
        <w:rPr>
          <w:rFonts w:ascii="Arial" w:hAnsi="Arial" w:cs="Arial"/>
          <w:sz w:val="24"/>
          <w:szCs w:val="24"/>
          <w:lang w:val="pt-BR"/>
        </w:rPr>
        <w:t>Presidente do Comitê/Gestor Recursos</w:t>
      </w:r>
      <w:r w:rsidRPr="00E21730">
        <w:rPr>
          <w:rFonts w:ascii="Arial" w:hAnsi="Arial" w:cs="Arial"/>
          <w:sz w:val="24"/>
          <w:szCs w:val="24"/>
          <w:lang w:val="pt-BR"/>
        </w:rPr>
        <w:tab/>
        <w:t xml:space="preserve">               </w:t>
      </w:r>
      <w:r w:rsidR="00F72490" w:rsidRPr="00E21730">
        <w:rPr>
          <w:rFonts w:ascii="Arial" w:hAnsi="Arial" w:cs="Arial"/>
          <w:sz w:val="24"/>
          <w:szCs w:val="24"/>
          <w:lang w:val="pt-BR"/>
        </w:rPr>
        <w:t xml:space="preserve">            </w:t>
      </w:r>
      <w:r w:rsidRPr="00E21730">
        <w:rPr>
          <w:rFonts w:ascii="Arial" w:hAnsi="Arial" w:cs="Arial"/>
          <w:sz w:val="24"/>
          <w:szCs w:val="24"/>
          <w:lang w:val="pt-BR"/>
        </w:rPr>
        <w:t xml:space="preserve">      Secretária</w:t>
      </w:r>
    </w:p>
    <w:p w14:paraId="2BC8D682" w14:textId="77777777" w:rsidR="00076369" w:rsidRPr="00E21730" w:rsidRDefault="00076369" w:rsidP="00156944">
      <w:pPr>
        <w:pStyle w:val="SemEspaamento"/>
        <w:rPr>
          <w:rFonts w:ascii="Arial" w:hAnsi="Arial" w:cs="Arial"/>
          <w:sz w:val="24"/>
          <w:szCs w:val="24"/>
          <w:lang w:val="pt-BR"/>
        </w:rPr>
      </w:pPr>
      <w:r w:rsidRPr="00E21730">
        <w:rPr>
          <w:rFonts w:ascii="Arial" w:hAnsi="Arial" w:cs="Arial"/>
          <w:sz w:val="24"/>
          <w:szCs w:val="24"/>
          <w:lang w:val="pt-BR"/>
        </w:rPr>
        <w:t xml:space="preserve"> </w:t>
      </w:r>
    </w:p>
    <w:p w14:paraId="3C142C16" w14:textId="77777777" w:rsidR="00B405F7" w:rsidRPr="00E21730" w:rsidRDefault="00B405F7" w:rsidP="00156944">
      <w:pPr>
        <w:pStyle w:val="SemEspaamento"/>
        <w:rPr>
          <w:rFonts w:ascii="Arial" w:hAnsi="Arial" w:cs="Arial"/>
          <w:sz w:val="24"/>
          <w:szCs w:val="24"/>
          <w:lang w:val="pt-BR"/>
        </w:rPr>
      </w:pPr>
    </w:p>
    <w:p w14:paraId="1322E476" w14:textId="77777777" w:rsidR="00076369" w:rsidRPr="00E21730" w:rsidRDefault="00076369" w:rsidP="00156944">
      <w:pPr>
        <w:pStyle w:val="SemEspaamento"/>
        <w:jc w:val="center"/>
        <w:rPr>
          <w:rFonts w:ascii="Arial" w:hAnsi="Arial" w:cs="Arial"/>
          <w:sz w:val="24"/>
          <w:szCs w:val="24"/>
          <w:lang w:val="pt-BR"/>
        </w:rPr>
      </w:pPr>
      <w:r w:rsidRPr="00E21730">
        <w:rPr>
          <w:rFonts w:ascii="Arial" w:hAnsi="Arial" w:cs="Arial"/>
          <w:sz w:val="24"/>
          <w:szCs w:val="24"/>
          <w:lang w:val="pt-BR"/>
        </w:rPr>
        <w:t xml:space="preserve"> </w:t>
      </w:r>
    </w:p>
    <w:p w14:paraId="3CA34FE5" w14:textId="64D8445A" w:rsidR="00076369" w:rsidRPr="00B405F7" w:rsidRDefault="00076369" w:rsidP="00156944">
      <w:pPr>
        <w:pStyle w:val="SemEspaamento"/>
        <w:rPr>
          <w:rFonts w:ascii="Arial" w:hAnsi="Arial" w:cs="Arial"/>
          <w:sz w:val="24"/>
          <w:szCs w:val="24"/>
          <w:lang w:val="pt-BR"/>
        </w:rPr>
      </w:pPr>
      <w:r w:rsidRPr="00E21730">
        <w:rPr>
          <w:rFonts w:ascii="Arial" w:hAnsi="Arial" w:cs="Arial"/>
          <w:sz w:val="24"/>
          <w:szCs w:val="24"/>
          <w:lang w:val="pt-BR"/>
        </w:rPr>
        <w:t xml:space="preserve">Cláudia Ap. Monteiro dos Santos                                  </w:t>
      </w:r>
      <w:r w:rsidR="00F72490" w:rsidRPr="00E21730">
        <w:rPr>
          <w:rFonts w:ascii="Arial" w:hAnsi="Arial" w:cs="Arial"/>
          <w:sz w:val="24"/>
          <w:szCs w:val="24"/>
          <w:lang w:val="pt-BR"/>
        </w:rPr>
        <w:t xml:space="preserve"> </w:t>
      </w:r>
      <w:r w:rsidRPr="00E21730">
        <w:rPr>
          <w:rFonts w:ascii="Arial" w:hAnsi="Arial" w:cs="Arial"/>
          <w:sz w:val="24"/>
          <w:szCs w:val="24"/>
          <w:lang w:val="pt-BR"/>
        </w:rPr>
        <w:t xml:space="preserve">    Daniel Fernand</w:t>
      </w:r>
      <w:r w:rsidRPr="00B405F7">
        <w:rPr>
          <w:rFonts w:ascii="Arial" w:hAnsi="Arial" w:cs="Arial"/>
          <w:sz w:val="24"/>
          <w:szCs w:val="24"/>
          <w:lang w:val="pt-BR"/>
        </w:rPr>
        <w:t>o da Silva</w:t>
      </w:r>
    </w:p>
    <w:p w14:paraId="603CD38A" w14:textId="57C3140D" w:rsidR="00076369" w:rsidRPr="00B405F7" w:rsidRDefault="00076369" w:rsidP="00156944">
      <w:pPr>
        <w:pStyle w:val="SemEspaamento"/>
        <w:rPr>
          <w:rFonts w:ascii="Arial" w:hAnsi="Arial" w:cs="Arial"/>
          <w:sz w:val="24"/>
          <w:szCs w:val="24"/>
          <w:lang w:val="pt-BR"/>
        </w:rPr>
      </w:pPr>
      <w:r w:rsidRPr="00B405F7">
        <w:rPr>
          <w:rFonts w:ascii="Arial" w:hAnsi="Arial" w:cs="Arial"/>
          <w:sz w:val="24"/>
          <w:szCs w:val="24"/>
          <w:lang w:val="pt-BR"/>
        </w:rPr>
        <w:t xml:space="preserve">                  Membro                                                                          </w:t>
      </w:r>
      <w:proofErr w:type="spellStart"/>
      <w:r w:rsidRPr="00B405F7">
        <w:rPr>
          <w:rFonts w:ascii="Arial" w:hAnsi="Arial" w:cs="Arial"/>
          <w:sz w:val="24"/>
          <w:szCs w:val="24"/>
          <w:lang w:val="pt-BR"/>
        </w:rPr>
        <w:t>Membro</w:t>
      </w:r>
      <w:proofErr w:type="spellEnd"/>
    </w:p>
    <w:p w14:paraId="6DC11088" w14:textId="77777777" w:rsidR="00D16F99" w:rsidRDefault="00D16F99" w:rsidP="00156944">
      <w:pPr>
        <w:pStyle w:val="SemEspaamento"/>
        <w:jc w:val="center"/>
        <w:rPr>
          <w:rFonts w:ascii="Arial" w:hAnsi="Arial" w:cs="Arial"/>
          <w:sz w:val="24"/>
          <w:szCs w:val="24"/>
          <w:lang w:val="pt-BR"/>
        </w:rPr>
      </w:pPr>
    </w:p>
    <w:p w14:paraId="3A3995C9" w14:textId="77777777" w:rsidR="00B405F7" w:rsidRPr="00B405F7" w:rsidRDefault="00B405F7" w:rsidP="00156944">
      <w:pPr>
        <w:pStyle w:val="SemEspaamento"/>
        <w:jc w:val="center"/>
        <w:rPr>
          <w:rFonts w:ascii="Arial" w:hAnsi="Arial" w:cs="Arial"/>
          <w:sz w:val="24"/>
          <w:szCs w:val="24"/>
          <w:lang w:val="pt-BR"/>
        </w:rPr>
      </w:pPr>
    </w:p>
    <w:p w14:paraId="14650393" w14:textId="66E410E2" w:rsidR="00076369" w:rsidRPr="00B405F7" w:rsidRDefault="006F3812" w:rsidP="00156944">
      <w:pPr>
        <w:pStyle w:val="SemEspaamento"/>
        <w:jc w:val="center"/>
        <w:rPr>
          <w:rFonts w:ascii="Arial" w:hAnsi="Arial" w:cs="Arial"/>
          <w:sz w:val="24"/>
          <w:szCs w:val="24"/>
        </w:rPr>
      </w:pPr>
      <w:r w:rsidRPr="00B405F7">
        <w:rPr>
          <w:rFonts w:ascii="Arial" w:hAnsi="Arial" w:cs="Arial"/>
          <w:sz w:val="24"/>
          <w:szCs w:val="24"/>
          <w:lang w:val="pt-BR"/>
        </w:rPr>
        <w:br/>
      </w:r>
      <w:r w:rsidR="00076369" w:rsidRPr="00B405F7">
        <w:rPr>
          <w:rFonts w:ascii="Arial" w:hAnsi="Arial" w:cs="Arial"/>
          <w:sz w:val="24"/>
          <w:szCs w:val="24"/>
          <w:lang w:val="pt-BR"/>
        </w:rPr>
        <w:t>Humberto Salvador Ferreira Lopes</w:t>
      </w:r>
      <w:r w:rsidRPr="00B405F7">
        <w:rPr>
          <w:rFonts w:ascii="Arial" w:hAnsi="Arial" w:cs="Arial"/>
          <w:sz w:val="24"/>
          <w:szCs w:val="24"/>
          <w:lang w:val="pt-BR"/>
        </w:rPr>
        <w:br/>
      </w:r>
      <w:r w:rsidR="00076369" w:rsidRPr="00B405F7">
        <w:rPr>
          <w:rFonts w:ascii="Arial" w:hAnsi="Arial" w:cs="Arial"/>
          <w:sz w:val="24"/>
          <w:szCs w:val="24"/>
          <w:lang w:val="pt-BR"/>
        </w:rPr>
        <w:t>Membro</w:t>
      </w:r>
      <w:r w:rsidR="00076369" w:rsidRPr="00B405F7">
        <w:rPr>
          <w:rFonts w:ascii="Arial" w:hAnsi="Arial" w:cs="Arial"/>
          <w:sz w:val="24"/>
          <w:szCs w:val="24"/>
        </w:rPr>
        <w:t xml:space="preserve"> </w:t>
      </w:r>
    </w:p>
    <w:bookmarkEnd w:id="0"/>
    <w:sectPr w:rsidR="00076369" w:rsidRPr="00B405F7" w:rsidSect="003E3962">
      <w:headerReference w:type="even" r:id="rId8"/>
      <w:headerReference w:type="default" r:id="rId9"/>
      <w:footerReference w:type="default" r:id="rId10"/>
      <w:headerReference w:type="first" r:id="rId11"/>
      <w:pgSz w:w="12176" w:h="16838"/>
      <w:pgMar w:top="1417" w:right="1403"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Pr="00660AAF" w:rsidRDefault="009B7211" w:rsidP="00AE38A1">
      <w:pPr>
        <w:spacing w:after="0" w:line="240" w:lineRule="auto"/>
      </w:pPr>
      <w:r w:rsidRPr="00660AAF">
        <w:separator/>
      </w:r>
    </w:p>
  </w:endnote>
  <w:endnote w:type="continuationSeparator" w:id="0">
    <w:p w14:paraId="7D7A0689" w14:textId="77777777" w:rsidR="009B7211" w:rsidRPr="00660AAF" w:rsidRDefault="009B7211" w:rsidP="00AE38A1">
      <w:pPr>
        <w:spacing w:after="0" w:line="240" w:lineRule="auto"/>
      </w:pPr>
      <w:r w:rsidRPr="00660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Pr="00660AAF" w:rsidRDefault="006B11D8" w:rsidP="006B11D8">
    <w:pPr>
      <w:jc w:val="center"/>
    </w:pPr>
    <w:r w:rsidRPr="00660AAF">
      <w:rPr>
        <w:rFonts w:cstheme="minorHAnsi"/>
        <w:b/>
        <w:color w:val="17365D" w:themeColor="text2" w:themeShade="BF"/>
        <w:sz w:val="20"/>
        <w:szCs w:val="20"/>
      </w:rPr>
      <w:br/>
    </w:r>
    <w:r w:rsidRPr="00660AAF">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Pr="00660AAF" w:rsidRDefault="009B7211" w:rsidP="00AE38A1">
      <w:pPr>
        <w:spacing w:after="0" w:line="240" w:lineRule="auto"/>
      </w:pPr>
      <w:r w:rsidRPr="00660AAF">
        <w:separator/>
      </w:r>
    </w:p>
  </w:footnote>
  <w:footnote w:type="continuationSeparator" w:id="0">
    <w:p w14:paraId="21C7CD01" w14:textId="77777777" w:rsidR="009B7211" w:rsidRPr="00660AAF" w:rsidRDefault="009B7211" w:rsidP="00AE38A1">
      <w:pPr>
        <w:spacing w:after="0" w:line="240" w:lineRule="auto"/>
      </w:pPr>
      <w:r w:rsidRPr="00660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Pr="00660AAF" w:rsidRDefault="00E72CC9">
    <w:pPr>
      <w:pStyle w:val="Cabealho"/>
    </w:pPr>
    <w: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6F3812" w:rsidRDefault="00AC2144" w:rsidP="00AC2144">
    <w:pPr>
      <w:ind w:left="3119" w:hanging="425"/>
      <w:jc w:val="center"/>
      <w:rPr>
        <w:sz w:val="24"/>
        <w:szCs w:val="24"/>
      </w:rPr>
    </w:pPr>
    <w:bookmarkStart w:id="1" w:name="_Hlk126065799"/>
    <w:r w:rsidRPr="006F3812">
      <w:rPr>
        <w:noProof/>
        <w:sz w:val="24"/>
        <w:szCs w:val="24"/>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202891078" name="Imagem 202891078"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6F3812">
      <w:rPr>
        <w:b/>
        <w:sz w:val="24"/>
        <w:szCs w:val="24"/>
      </w:rPr>
      <w:t xml:space="preserve">     </w:t>
    </w:r>
    <w:r w:rsidRPr="006F3812">
      <w:rPr>
        <w:b/>
        <w:i/>
        <w:iCs/>
        <w:sz w:val="24"/>
        <w:szCs w:val="24"/>
        <w:u w:val="single"/>
      </w:rPr>
      <w:t xml:space="preserve">INSTITUTO DE PREVIDÊNCIA DOS SERVIDORES PÚBLICOS   </w:t>
    </w:r>
    <w:r w:rsidRPr="006F3812">
      <w:rPr>
        <w:b/>
        <w:i/>
        <w:iCs/>
        <w:sz w:val="24"/>
        <w:szCs w:val="24"/>
        <w:u w:val="single"/>
      </w:rPr>
      <w:br/>
      <w:t>DO MUNICÍPIO DE GUANHÃES</w:t>
    </w:r>
    <w:r w:rsidRPr="006F3812">
      <w:rPr>
        <w:b/>
        <w:i/>
        <w:iCs/>
        <w:sz w:val="24"/>
        <w:szCs w:val="24"/>
      </w:rPr>
      <w:t>-</w:t>
    </w:r>
    <w:r w:rsidRPr="006F3812">
      <w:rPr>
        <w:b/>
        <w:i/>
        <w:iCs/>
        <w:sz w:val="24"/>
        <w:szCs w:val="24"/>
        <w:u w:val="single"/>
      </w:rPr>
      <w:t>GUANHÃESPREV</w:t>
    </w:r>
    <w:r w:rsidRPr="006F3812">
      <w:rPr>
        <w:b/>
        <w:i/>
        <w:iCs/>
        <w:sz w:val="24"/>
        <w:szCs w:val="24"/>
        <w:u w:val="single"/>
      </w:rPr>
      <w:br/>
      <w:t>CNPJ: 05.518.895/0001-74</w:t>
    </w:r>
    <w:bookmarkEnd w:id="1"/>
    <w:r w:rsidR="00E72CC9">
      <w:rPr>
        <w:sz w:val="24"/>
        <w:szCs w:val="24"/>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Pr="00660AAF" w:rsidRDefault="00E72CC9">
    <w:pPr>
      <w:pStyle w:val="Cabealho"/>
    </w:pPr>
    <w: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76369"/>
    <w:rsid w:val="000B5CE0"/>
    <w:rsid w:val="000D0CC5"/>
    <w:rsid w:val="000D53E0"/>
    <w:rsid w:val="000E3358"/>
    <w:rsid w:val="00132670"/>
    <w:rsid w:val="00156944"/>
    <w:rsid w:val="00172DFF"/>
    <w:rsid w:val="001934BC"/>
    <w:rsid w:val="001B431C"/>
    <w:rsid w:val="001B5069"/>
    <w:rsid w:val="001E02C2"/>
    <w:rsid w:val="00214BC9"/>
    <w:rsid w:val="002A62B8"/>
    <w:rsid w:val="002B1AEE"/>
    <w:rsid w:val="002F3B54"/>
    <w:rsid w:val="0031595C"/>
    <w:rsid w:val="00330475"/>
    <w:rsid w:val="00331DA8"/>
    <w:rsid w:val="00336184"/>
    <w:rsid w:val="00341FB3"/>
    <w:rsid w:val="003735B0"/>
    <w:rsid w:val="003D4035"/>
    <w:rsid w:val="003E0557"/>
    <w:rsid w:val="003E3962"/>
    <w:rsid w:val="003E76CB"/>
    <w:rsid w:val="003F6D65"/>
    <w:rsid w:val="004000D1"/>
    <w:rsid w:val="00412D73"/>
    <w:rsid w:val="004207A4"/>
    <w:rsid w:val="00425D76"/>
    <w:rsid w:val="00441214"/>
    <w:rsid w:val="004B4FFC"/>
    <w:rsid w:val="004C0962"/>
    <w:rsid w:val="004E4260"/>
    <w:rsid w:val="004E79D2"/>
    <w:rsid w:val="00505D99"/>
    <w:rsid w:val="00511D5F"/>
    <w:rsid w:val="00545113"/>
    <w:rsid w:val="005546F1"/>
    <w:rsid w:val="0055553D"/>
    <w:rsid w:val="0057268E"/>
    <w:rsid w:val="00572B3B"/>
    <w:rsid w:val="00584933"/>
    <w:rsid w:val="005870CA"/>
    <w:rsid w:val="005B1CFB"/>
    <w:rsid w:val="005D5501"/>
    <w:rsid w:val="005D66FD"/>
    <w:rsid w:val="005E5F49"/>
    <w:rsid w:val="005F3F22"/>
    <w:rsid w:val="006245DB"/>
    <w:rsid w:val="00660AAF"/>
    <w:rsid w:val="0067285F"/>
    <w:rsid w:val="006A6E7F"/>
    <w:rsid w:val="006B11D8"/>
    <w:rsid w:val="006B4DB6"/>
    <w:rsid w:val="006F3812"/>
    <w:rsid w:val="00702BA0"/>
    <w:rsid w:val="0072220C"/>
    <w:rsid w:val="00753965"/>
    <w:rsid w:val="0076343C"/>
    <w:rsid w:val="007E24A2"/>
    <w:rsid w:val="007E76D8"/>
    <w:rsid w:val="00815898"/>
    <w:rsid w:val="00821C70"/>
    <w:rsid w:val="00821E2B"/>
    <w:rsid w:val="008766CE"/>
    <w:rsid w:val="00896A80"/>
    <w:rsid w:val="008A57A6"/>
    <w:rsid w:val="008B0983"/>
    <w:rsid w:val="008D0B50"/>
    <w:rsid w:val="008F28B9"/>
    <w:rsid w:val="00904BB9"/>
    <w:rsid w:val="00954710"/>
    <w:rsid w:val="00982FF5"/>
    <w:rsid w:val="009832CF"/>
    <w:rsid w:val="009A7CF4"/>
    <w:rsid w:val="009B7211"/>
    <w:rsid w:val="009D2F22"/>
    <w:rsid w:val="009E0E2C"/>
    <w:rsid w:val="009F39A6"/>
    <w:rsid w:val="00A02893"/>
    <w:rsid w:val="00A214A4"/>
    <w:rsid w:val="00A621EC"/>
    <w:rsid w:val="00A77661"/>
    <w:rsid w:val="00AA6AC1"/>
    <w:rsid w:val="00AC2144"/>
    <w:rsid w:val="00AD7B05"/>
    <w:rsid w:val="00AE3618"/>
    <w:rsid w:val="00AE38A1"/>
    <w:rsid w:val="00B132A1"/>
    <w:rsid w:val="00B35FE0"/>
    <w:rsid w:val="00B405F7"/>
    <w:rsid w:val="00B42317"/>
    <w:rsid w:val="00B47864"/>
    <w:rsid w:val="00B645FC"/>
    <w:rsid w:val="00B71E16"/>
    <w:rsid w:val="00B7333A"/>
    <w:rsid w:val="00BB062E"/>
    <w:rsid w:val="00BB2005"/>
    <w:rsid w:val="00BF77EC"/>
    <w:rsid w:val="00C256C3"/>
    <w:rsid w:val="00C3091F"/>
    <w:rsid w:val="00C31F2F"/>
    <w:rsid w:val="00C44F39"/>
    <w:rsid w:val="00C72B68"/>
    <w:rsid w:val="00CE5B13"/>
    <w:rsid w:val="00D16F99"/>
    <w:rsid w:val="00D25F84"/>
    <w:rsid w:val="00D33890"/>
    <w:rsid w:val="00D741E5"/>
    <w:rsid w:val="00D834D3"/>
    <w:rsid w:val="00DB1D5A"/>
    <w:rsid w:val="00DF5EFC"/>
    <w:rsid w:val="00E024BB"/>
    <w:rsid w:val="00E12E13"/>
    <w:rsid w:val="00E21730"/>
    <w:rsid w:val="00E3768E"/>
    <w:rsid w:val="00E72CC9"/>
    <w:rsid w:val="00E80DB7"/>
    <w:rsid w:val="00EA4BB2"/>
    <w:rsid w:val="00EB508A"/>
    <w:rsid w:val="00EB74A7"/>
    <w:rsid w:val="00EC567C"/>
    <w:rsid w:val="00ED1652"/>
    <w:rsid w:val="00F11231"/>
    <w:rsid w:val="00F22050"/>
    <w:rsid w:val="00F72490"/>
    <w:rsid w:val="00FA5082"/>
    <w:rsid w:val="00FB3D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 w:type="paragraph" w:styleId="NormalWeb">
    <w:name w:val="Normal (Web)"/>
    <w:basedOn w:val="Normal"/>
    <w:uiPriority w:val="99"/>
    <w:semiHidden/>
    <w:unhideWhenUsed/>
    <w:rsid w:val="001934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4294958259</TotalTime>
  <Pages>4</Pages>
  <Words>2201</Words>
  <Characters>11891</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39</cp:revision>
  <cp:lastPrinted>2026-07-01T19:27:00Z</cp:lastPrinted>
  <dcterms:created xsi:type="dcterms:W3CDTF">2025-09-26T13:52:00Z</dcterms:created>
  <dcterms:modified xsi:type="dcterms:W3CDTF">2026-06-24T19:28:00Z</dcterms:modified>
</cp:coreProperties>
</file>